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92" w:rsidRDefault="00673CF4" w:rsidP="00673CF4">
      <w:pPr>
        <w:jc w:val="center"/>
        <w:rPr>
          <w:rFonts w:ascii="方正小标宋简体" w:eastAsia="方正小标宋简体" w:hint="eastAsia"/>
          <w:sz w:val="44"/>
          <w:szCs w:val="44"/>
        </w:rPr>
      </w:pPr>
      <w:r w:rsidRPr="00673CF4">
        <w:rPr>
          <w:rFonts w:ascii="方正小标宋简体" w:eastAsia="方正小标宋简体" w:hint="eastAsia"/>
          <w:sz w:val="44"/>
          <w:szCs w:val="44"/>
        </w:rPr>
        <w:t>好设计评选标准</w:t>
      </w:r>
    </w:p>
    <w:p w:rsidR="00673CF4" w:rsidRDefault="00673CF4" w:rsidP="00673CF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Lines="50" w:afterLines="50" w:line="300" w:lineRule="auto"/>
        <w:ind w:firstLineChars="200" w:firstLine="600"/>
        <w:jc w:val="both"/>
        <w:outlineLvl w:val="2"/>
        <w:rPr>
          <w:rFonts w:ascii="黑体" w:eastAsia="黑体" w:hAnsi="黑体" w:cs="黑体" w:hint="default"/>
          <w:sz w:val="30"/>
          <w:szCs w:val="30"/>
        </w:rPr>
      </w:pPr>
      <w:bookmarkStart w:id="0" w:name="_Toc1152"/>
      <w:bookmarkStart w:id="1" w:name="_Toc19969"/>
      <w:r>
        <w:rPr>
          <w:rFonts w:ascii="黑体" w:eastAsia="黑体" w:hAnsi="黑体" w:cs="黑体"/>
          <w:sz w:val="30"/>
          <w:szCs w:val="30"/>
        </w:rPr>
        <w:t>（一）绿色低碳</w:t>
      </w:r>
      <w:bookmarkEnd w:id="0"/>
      <w:bookmarkEnd w:id="1"/>
    </w:p>
    <w:p w:rsidR="00673CF4" w:rsidRDefault="00673CF4" w:rsidP="00673CF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Lines="50" w:line="300" w:lineRule="auto"/>
        <w:ind w:firstLineChars="200" w:firstLine="600"/>
        <w:jc w:val="both"/>
        <w:rPr>
          <w:rFonts w:ascii="宋体" w:eastAsia="宋体" w:hAnsi="宋体" w:cs="宋体" w:hint="default"/>
          <w:sz w:val="30"/>
          <w:szCs w:val="30"/>
        </w:rPr>
      </w:pPr>
      <w:r>
        <w:rPr>
          <w:rFonts w:ascii="宋体" w:eastAsia="宋体" w:hAnsi="宋体" w:cs="宋体"/>
          <w:sz w:val="30"/>
          <w:szCs w:val="30"/>
        </w:rPr>
        <w:t>绿色低碳是绿色制造、可持续发展的基础和源头，决定了产品全生命周期内能源消耗和废料排放的总水平。在全球碳排放量激增、全球气候加速变暖、全球资源能源日益枯竭的背景下，通过技术创新、制度创新促使经济结构调整，减少资源、能源消耗和排放，尽快实现环境保护和经济发展并进的目标已经成为各国共识。因此，知识网络时代的创新设计，必然秉承以人为本和可持续发展的理念，呈现出绿色低碳的时代特征。</w:t>
      </w:r>
    </w:p>
    <w:p w:rsidR="00673CF4" w:rsidRDefault="00673CF4" w:rsidP="00673CF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Lines="50" w:afterLines="50" w:line="300" w:lineRule="auto"/>
        <w:ind w:firstLineChars="200" w:firstLine="600"/>
        <w:jc w:val="both"/>
        <w:outlineLvl w:val="2"/>
        <w:rPr>
          <w:rFonts w:ascii="黑体" w:eastAsia="黑体" w:hAnsi="黑体" w:cs="黑体" w:hint="default"/>
          <w:sz w:val="30"/>
          <w:szCs w:val="30"/>
        </w:rPr>
      </w:pPr>
      <w:bookmarkStart w:id="2" w:name="_Toc3763"/>
      <w:bookmarkStart w:id="3" w:name="_Toc14449"/>
      <w:r>
        <w:rPr>
          <w:rFonts w:ascii="黑体" w:eastAsia="黑体" w:hAnsi="黑体" w:cs="黑体"/>
          <w:sz w:val="30"/>
          <w:szCs w:val="30"/>
        </w:rPr>
        <w:t>（二）网络智能</w:t>
      </w:r>
      <w:bookmarkEnd w:id="2"/>
      <w:bookmarkEnd w:id="3"/>
    </w:p>
    <w:p w:rsidR="00673CF4" w:rsidRDefault="00673CF4" w:rsidP="00673CF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Lines="50" w:line="300" w:lineRule="auto"/>
        <w:ind w:firstLineChars="200" w:firstLine="600"/>
        <w:jc w:val="both"/>
        <w:rPr>
          <w:rFonts w:ascii="宋体" w:eastAsia="宋体" w:hAnsi="宋体" w:cs="宋体" w:hint="default"/>
          <w:sz w:val="30"/>
          <w:szCs w:val="30"/>
        </w:rPr>
      </w:pPr>
      <w:r>
        <w:rPr>
          <w:rFonts w:ascii="宋体" w:eastAsia="宋体" w:hAnsi="宋体" w:cs="宋体"/>
          <w:sz w:val="30"/>
          <w:szCs w:val="30"/>
        </w:rPr>
        <w:t>知识网络时代万物互联、实时传感、VR/AR、AI等技术创新和应用日新月异，创新设计呈现</w:t>
      </w:r>
      <w:proofErr w:type="gramStart"/>
      <w:r>
        <w:rPr>
          <w:rFonts w:ascii="宋体" w:eastAsia="宋体" w:hAnsi="宋体" w:cs="宋体"/>
          <w:sz w:val="30"/>
          <w:szCs w:val="30"/>
        </w:rPr>
        <w:t>出网络</w:t>
      </w:r>
      <w:proofErr w:type="gramEnd"/>
      <w:r>
        <w:rPr>
          <w:rFonts w:ascii="宋体" w:eastAsia="宋体" w:hAnsi="宋体" w:cs="宋体"/>
          <w:sz w:val="30"/>
          <w:szCs w:val="30"/>
        </w:rPr>
        <w:t>智能的技术特征。网络智能不仅是单一技术和装备的突破与应用，而且是虚拟网络和实体生产的相互渗透融合，通过制造技术与信息技术的深度融合与集成，创造新的附加值。借助传感器、互联网、物联网、大数据、</w:t>
      </w:r>
      <w:proofErr w:type="gramStart"/>
      <w:r>
        <w:rPr>
          <w:rFonts w:ascii="宋体" w:eastAsia="宋体" w:hAnsi="宋体" w:cs="宋体"/>
          <w:sz w:val="30"/>
          <w:szCs w:val="30"/>
        </w:rPr>
        <w:t>云计算</w:t>
      </w:r>
      <w:proofErr w:type="gramEnd"/>
      <w:r>
        <w:rPr>
          <w:rFonts w:ascii="宋体" w:eastAsia="宋体" w:hAnsi="宋体" w:cs="宋体"/>
          <w:sz w:val="30"/>
          <w:szCs w:val="30"/>
        </w:rPr>
        <w:t>等的运用，实现设备与设备、设备与工厂、各工厂之间以及供应链上下游企业间、企业与用户间的无缝对接，企业可以更加精准地预测用户需求，根据用户多样化、个性化的需求进行柔性生产，并实时监控整个生产过程，实现低成本的定制化服务。</w:t>
      </w:r>
    </w:p>
    <w:p w:rsidR="00673CF4" w:rsidRDefault="00673CF4" w:rsidP="00673CF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Lines="50" w:afterLines="50" w:line="300" w:lineRule="auto"/>
        <w:ind w:firstLineChars="200" w:firstLine="600"/>
        <w:jc w:val="both"/>
        <w:outlineLvl w:val="2"/>
        <w:rPr>
          <w:rFonts w:ascii="黑体" w:eastAsia="黑体" w:hAnsi="黑体" w:cs="黑体" w:hint="default"/>
          <w:sz w:val="30"/>
          <w:szCs w:val="30"/>
        </w:rPr>
      </w:pPr>
      <w:bookmarkStart w:id="4" w:name="_Toc11428"/>
      <w:bookmarkStart w:id="5" w:name="_Toc17437"/>
      <w:r>
        <w:rPr>
          <w:rFonts w:ascii="黑体" w:eastAsia="黑体" w:hAnsi="黑体" w:cs="黑体"/>
          <w:sz w:val="30"/>
          <w:szCs w:val="30"/>
        </w:rPr>
        <w:t>（三）共创分享</w:t>
      </w:r>
      <w:bookmarkEnd w:id="4"/>
      <w:bookmarkEnd w:id="5"/>
    </w:p>
    <w:p w:rsidR="00673CF4" w:rsidRDefault="00673CF4" w:rsidP="00673CF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Lines="50" w:line="300" w:lineRule="auto"/>
        <w:ind w:firstLineChars="200" w:firstLine="600"/>
        <w:jc w:val="both"/>
        <w:rPr>
          <w:rFonts w:ascii="宋体" w:eastAsia="宋体" w:hAnsi="宋体" w:cs="宋体"/>
          <w:sz w:val="30"/>
          <w:szCs w:val="30"/>
        </w:rPr>
      </w:pPr>
      <w:r>
        <w:rPr>
          <w:rFonts w:ascii="宋体" w:eastAsia="宋体" w:hAnsi="宋体" w:cs="宋体"/>
          <w:sz w:val="30"/>
          <w:szCs w:val="30"/>
        </w:rPr>
        <w:t>在知识网络时代，设计不再只依靠个人或单一团队，已发展成全球网络合作、多领域、多学科协同创新活动。全球网络促成了资源的开放与共享整合，协同作业变得更及时、更有效。云计算、智能制造、</w:t>
      </w:r>
      <w:r w:rsidRPr="00673CF4">
        <w:rPr>
          <w:rFonts w:ascii="宋体" w:eastAsia="宋体" w:hAnsi="宋体" w:cs="宋体"/>
          <w:sz w:val="30"/>
          <w:szCs w:val="30"/>
        </w:rPr>
        <w:t>3D</w:t>
      </w:r>
      <w:r>
        <w:rPr>
          <w:rFonts w:ascii="宋体" w:eastAsia="宋体" w:hAnsi="宋体" w:cs="宋体"/>
          <w:sz w:val="30"/>
          <w:szCs w:val="30"/>
        </w:rPr>
        <w:t>打印等技术的进展，使设计众创、制造服务成为新生态，合作共赢成为新共识，共创分享成为经济发展新形态，个性化与规模化设计制造服务相结合的生产方式共生。移动</w:t>
      </w:r>
      <w:r>
        <w:rPr>
          <w:rFonts w:ascii="宋体" w:eastAsia="宋体" w:hAnsi="宋体" w:cs="宋体"/>
          <w:sz w:val="30"/>
          <w:szCs w:val="30"/>
        </w:rPr>
        <w:lastRenderedPageBreak/>
        <w:t>技术改变了信息获取、处理和传播的方式，使得以知识为基础的创新设计活动也变得无所不在。</w:t>
      </w:r>
    </w:p>
    <w:p w:rsidR="00673CF4" w:rsidRDefault="00673CF4" w:rsidP="00673CF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Lines="50" w:afterLines="50" w:line="300" w:lineRule="auto"/>
        <w:ind w:firstLineChars="200" w:firstLine="600"/>
        <w:jc w:val="both"/>
        <w:outlineLvl w:val="2"/>
        <w:rPr>
          <w:rFonts w:ascii="黑体" w:eastAsia="黑体" w:hAnsi="黑体" w:cs="黑体" w:hint="default"/>
          <w:sz w:val="30"/>
          <w:szCs w:val="30"/>
        </w:rPr>
      </w:pPr>
      <w:bookmarkStart w:id="6" w:name="_Toc3626"/>
      <w:bookmarkStart w:id="7" w:name="_Toc3713"/>
      <w:r>
        <w:rPr>
          <w:rFonts w:ascii="黑体" w:eastAsia="黑体" w:hAnsi="黑体" w:cs="黑体"/>
          <w:sz w:val="30"/>
          <w:szCs w:val="30"/>
        </w:rPr>
        <w:t>（四）开放融合</w:t>
      </w:r>
      <w:bookmarkEnd w:id="6"/>
      <w:bookmarkEnd w:id="7"/>
    </w:p>
    <w:p w:rsidR="00673CF4" w:rsidRPr="00673CF4" w:rsidRDefault="00673CF4" w:rsidP="00673CF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Lines="50" w:line="300" w:lineRule="auto"/>
        <w:ind w:firstLineChars="200" w:firstLine="600"/>
        <w:jc w:val="both"/>
        <w:rPr>
          <w:rFonts w:ascii="仿宋_GB2312" w:eastAsia="仿宋_GB2312"/>
          <w:sz w:val="32"/>
          <w:szCs w:val="32"/>
        </w:rPr>
      </w:pPr>
      <w:r>
        <w:rPr>
          <w:rFonts w:ascii="宋体" w:eastAsia="宋体" w:hAnsi="宋体" w:cs="宋体"/>
          <w:sz w:val="30"/>
          <w:szCs w:val="30"/>
        </w:rPr>
        <w:t>知识网络时代，设计制造服务创新需要学科交叉融合、跨界知识融合，创新方法多样融合，终端</w:t>
      </w:r>
      <w:r>
        <w:rPr>
          <w:rFonts w:ascii="宋体" w:eastAsia="宋体" w:hAnsi="宋体" w:cs="宋体" w:hint="default"/>
          <w:sz w:val="30"/>
          <w:szCs w:val="30"/>
        </w:rPr>
        <w:t>•</w:t>
      </w:r>
      <w:r>
        <w:rPr>
          <w:rFonts w:ascii="宋体" w:eastAsia="宋体" w:hAnsi="宋体" w:cs="宋体"/>
          <w:sz w:val="30"/>
          <w:szCs w:val="30"/>
        </w:rPr>
        <w:t>云端/软</w:t>
      </w:r>
      <w:r>
        <w:rPr>
          <w:rFonts w:ascii="宋体" w:eastAsia="宋体" w:hAnsi="宋体" w:cs="宋体" w:hint="default"/>
          <w:sz w:val="30"/>
          <w:szCs w:val="30"/>
        </w:rPr>
        <w:t>•</w:t>
      </w:r>
      <w:r>
        <w:rPr>
          <w:rFonts w:ascii="宋体" w:eastAsia="宋体" w:hAnsi="宋体" w:cs="宋体"/>
          <w:sz w:val="30"/>
          <w:szCs w:val="30"/>
        </w:rPr>
        <w:t>硬件深度融合，企业仅仅依靠内部资源进行高成本的创新活动，已经难以适应快速发展的市场需求以及日益激烈的企业竞争。开放融合正在逐渐成为创新设计的主导模式和制度保障。具体来说，企业把外部创意和外部市场化渠道的作用，上升到和封闭式创新模式下的内部创意以及内部市场化渠道同样重要的地位，均衡协调内部和外部的资源进行创新，不仅把创新的目标寄托在传统产品经营上，还积极寻找外部的合资、技术特许、委外研究、技术合伙、战略联盟或者风险投资等合适的商业模式来尽快地把创新思想变为现实产品与利润。</w:t>
      </w:r>
    </w:p>
    <w:sectPr w:rsidR="00673CF4" w:rsidRPr="00673CF4" w:rsidSect="00216A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3CF4"/>
    <w:rsid w:val="00216A92"/>
    <w:rsid w:val="00673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673CF4"/>
    <w:rPr>
      <w:rFonts w:ascii="Arial Unicode MS" w:eastAsia="Helvetica" w:hAnsi="Arial Unicode MS" w:cs="Arial Unicode MS" w:hint="eastAsia"/>
      <w:color w:val="000000"/>
      <w:kern w:val="0"/>
      <w:sz w:val="22"/>
      <w:lang w:val="zh-CN"/>
    </w:rPr>
  </w:style>
  <w:style w:type="character" w:styleId="a3">
    <w:name w:val="annotation reference"/>
    <w:basedOn w:val="a0"/>
    <w:uiPriority w:val="99"/>
    <w:unhideWhenUsed/>
    <w:rsid w:val="00673CF4"/>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832</Characters>
  <Application>Microsoft Office Word</Application>
  <DocSecurity>0</DocSecurity>
  <Lines>6</Lines>
  <Paragraphs>1</Paragraphs>
  <ScaleCrop>false</ScaleCrop>
  <Company>CHINA</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2018-11-30T07:34:00Z</dcterms:created>
  <dcterms:modified xsi:type="dcterms:W3CDTF">2018-11-30T07:37:00Z</dcterms:modified>
</cp:coreProperties>
</file>